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Как без суда снять с кадастрового 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чета несуществующий объект</w:t>
      </w:r>
    </w:p>
    <w:p w14:paraId="05000000">
      <w:pPr>
        <w:ind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Нередко бывают такие ситуации, когда пробелы в законодательстве препятствуют гражданам и юридическим лицам, в полной мере осуществлять принадлежащие им права. Например, гражданин приобрел земельный участок, решил построить на нем здание, но оказалось, что, согласно сведениям из Единого государственного реестра недвижимости (далее - ЕГРН) на данном участке уже расположен объект капитального строительства, вот только собственник объекта право на него не зарегистрировал и фактически объекта на земле уже не существует. Или же собственник недвижимости </w:t>
      </w:r>
      <w:r>
        <w:rPr>
          <w:rFonts w:ascii="Times New Roman" w:hAnsi="Times New Roman"/>
          <w:sz w:val="28"/>
        </w:rPr>
        <w:t>(юридическое лицо)</w:t>
      </w:r>
      <w:r>
        <w:rPr>
          <w:rFonts w:ascii="Times New Roman" w:hAnsi="Times New Roman"/>
          <w:sz w:val="28"/>
        </w:rPr>
        <w:t xml:space="preserve"> был ликвидирован  или умер (физическое лицо), а права на объект не перешли по наследству к другим лицам.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Естественно, сведения ЕГРН необходимо привести в соответствие с действительностью. Однако до недавнего времени сделать это было не совсем просто.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13.07.2020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ч.2 ст. 15 Федерального закона "О государственной регистрации недвижимости" (далее - Закон), </w:t>
      </w:r>
      <w:r>
        <w:rPr>
          <w:rFonts w:ascii="Times New Roman" w:hAnsi="Times New Roman"/>
          <w:sz w:val="28"/>
        </w:rPr>
        <w:t>подать заявление и пакет документов на снятие объекта капитального строительства с кадастрового учета мог исключительно собственник такого объекта. Но когда у заявителя не имелось правоустанавивающих документов на такой объект, органом регистрации прав принимались решения об отказе в снятии с кадастрового учета. Оставался один путь – обращение в суд с иском о снятии с кадастрового учета спорного объекта.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и в случае обращения в суд возникали проблемы, так как ответчика по такому спору определить сложно и, как правило, истцы указывали в качестве ответчика – орган регистрации прав, что в корне не верно, поскольку Управление не имеет материально – правового интереса на спорный объект недвижимости и не пре</w:t>
      </w:r>
      <w:r>
        <w:rPr>
          <w:rFonts w:ascii="Times New Roman" w:hAnsi="Times New Roman"/>
          <w:sz w:val="28"/>
        </w:rPr>
        <w:t xml:space="preserve">тендует на него, тем самым не нарушает прав истца, </w:t>
      </w:r>
      <w:r>
        <w:rPr>
          <w:rFonts w:ascii="Times New Roman" w:hAnsi="Times New Roman"/>
          <w:sz w:val="28"/>
        </w:rPr>
        <w:t>– прокомментировали</w:t>
      </w:r>
      <w:r>
        <w:rPr>
          <w:rFonts w:ascii="Times New Roman" w:hAnsi="Times New Roman"/>
          <w:sz w:val="28"/>
        </w:rPr>
        <w:t xml:space="preserve"> ситуацию в Управлении Росреестра по Республике Адыгея.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проблема была решена с внесением изменений в Закон о регистрации недвижимости. Теперь законодатель предусмотрел подобные ситуации и дополнил ч. 2 ст. 15 Закона новыми пунктами.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согласно п. 2.1 ч. 1 ст. 15 Закона снять с кадастрового учета прекративший свое существование объект капитального строительства, права на который не зарегистрированы в ЕГРН или собственник которого был ликвидирован (юридическое лицо) или умер (физическое лицо), а права на объект не перешли по наследству к другим лицам, может собственник земельного участка, на котором был расположен такой объект.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данного нормоположения восполнило имеющийся в законодательстве пробел, что позволит участникам гражданского оборота в полной мере реализовать принадлежащие им права без дополнительных судебных тяжб.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extended-text__short"/>
    <w:basedOn w:val="Style_3"/>
    <w:link w:val="Style_2_ch"/>
  </w:style>
  <w:style w:styleId="Style_2_ch" w:type="character">
    <w:name w:val="extended-text__short"/>
    <w:basedOn w:val="Style_3_ch"/>
    <w:link w:val="Style_2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List Paragraph"/>
    <w:basedOn w:val="Style_1"/>
    <w:link w:val="Style_12_ch"/>
    <w:pPr>
      <w:ind w:firstLine="0" w:left="720"/>
      <w:contextualSpacing w:val="1"/>
    </w:pPr>
  </w:style>
  <w:style w:styleId="Style_12_ch" w:type="character">
    <w:name w:val="List Paragraph"/>
    <w:basedOn w:val="Style_1_ch"/>
    <w:link w:val="Style_12"/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Normal (Web)"/>
    <w:basedOn w:val="Style_1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1_ch"/>
    <w:link w:val="Style_26"/>
    <w:rPr>
      <w:rFonts w:ascii="Times New Roman" w:hAnsi="Times New Roman"/>
      <w:sz w:val="24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Balloon Text"/>
    <w:basedOn w:val="Style_1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1_ch"/>
    <w:link w:val="Style_31"/>
    <w:rPr>
      <w:rFonts w:ascii="Tahoma" w:hAnsi="Tahoma"/>
      <w:sz w:val="1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2020-10-01T08:07:03Z</dcterms:modified>
</cp:coreProperties>
</file>